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69" w:rsidRPr="00257DB7" w:rsidRDefault="0083748A" w:rsidP="003F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Information on the rights of </w:t>
      </w:r>
      <w:r w:rsidR="00257DB7" w:rsidRPr="00257DB7">
        <w:rPr>
          <w:rFonts w:ascii="Times New Roman" w:hAnsi="Times New Roman" w:cs="Times New Roman"/>
          <w:sz w:val="24"/>
          <w:szCs w:val="24"/>
        </w:rPr>
        <w:t>Subsidiary JSC VTB Bank (Kazakhstan)</w:t>
      </w:r>
      <w:r w:rsidRPr="003F48CC">
        <w:rPr>
          <w:rFonts w:ascii="Times New Roman" w:hAnsi="Times New Roman" w:cs="Times New Roman"/>
          <w:sz w:val="24"/>
          <w:szCs w:val="24"/>
        </w:rPr>
        <w:t xml:space="preserve"> and on the responsibility of the </w:t>
      </w:r>
      <w:r w:rsidR="003F48CC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>borrower in case of default on obligations under the Bank Loan Agreement/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</w:t>
      </w:r>
      <w:r w:rsidR="00257DB7" w:rsidRPr="00257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69" w:rsidRPr="003F48CC" w:rsidRDefault="00BF0A69" w:rsidP="003F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69" w:rsidRPr="003F48CC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Upon acceptance by the Borrower/Co-borrower of the terms and conditions of the Bank Loan Agreement (accession to the Standard Bank Loan Agreement (on the terms </w:t>
      </w:r>
      <w:r w:rsidR="003F48CC" w:rsidRPr="003F48CC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Pr="003F48CC">
        <w:rPr>
          <w:rFonts w:ascii="Times New Roman" w:hAnsi="Times New Roman" w:cs="Times New Roman"/>
          <w:sz w:val="24"/>
          <w:szCs w:val="24"/>
        </w:rPr>
        <w:t xml:space="preserve">of the accession agreement) of </w:t>
      </w:r>
      <w:r w:rsidR="00257DB7" w:rsidRPr="00257DB7">
        <w:rPr>
          <w:rFonts w:ascii="Times New Roman" w:hAnsi="Times New Roman" w:cs="Times New Roman"/>
          <w:sz w:val="24"/>
          <w:szCs w:val="24"/>
        </w:rPr>
        <w:t>Subsidiary JSC VTB Bank (Kazakhstan)</w:t>
      </w:r>
      <w:r w:rsidR="003F48CC" w:rsidRPr="003F48CC">
        <w:rPr>
          <w:rFonts w:ascii="Times New Roman" w:hAnsi="Times New Roman" w:cs="Times New Roman"/>
          <w:sz w:val="24"/>
          <w:szCs w:val="24"/>
        </w:rPr>
        <w:t xml:space="preserve">) </w:t>
      </w:r>
      <w:r w:rsidRPr="003F48CC">
        <w:rPr>
          <w:rFonts w:ascii="Times New Roman" w:hAnsi="Times New Roman" w:cs="Times New Roman"/>
          <w:sz w:val="24"/>
          <w:szCs w:val="24"/>
        </w:rPr>
        <w:t xml:space="preserve">(hereinafter </w:t>
      </w:r>
      <w:r w:rsidR="003F48CC" w:rsidRPr="003F48CC">
        <w:rPr>
          <w:rFonts w:ascii="Times New Roman" w:hAnsi="Times New Roman" w:cs="Times New Roman"/>
          <w:sz w:val="24"/>
          <w:szCs w:val="24"/>
        </w:rPr>
        <w:t>referred to as</w:t>
      </w:r>
      <w:r w:rsidRPr="003F48CC">
        <w:rPr>
          <w:rFonts w:ascii="Times New Roman" w:hAnsi="Times New Roman" w:cs="Times New Roman"/>
          <w:sz w:val="24"/>
          <w:szCs w:val="24"/>
        </w:rPr>
        <w:t xml:space="preserve"> the Bank Loan Agreement) by signing by the </w:t>
      </w:r>
      <w:r w:rsidR="003F48CC" w:rsidRPr="003F48CC">
        <w:rPr>
          <w:rFonts w:ascii="Times New Roman" w:hAnsi="Times New Roman" w:cs="Times New Roman"/>
          <w:sz w:val="24"/>
          <w:szCs w:val="24"/>
        </w:rPr>
        <w:t>Borrower/Co-borrower</w:t>
      </w:r>
      <w:r w:rsidRPr="003F48CC">
        <w:rPr>
          <w:rFonts w:ascii="Times New Roman" w:hAnsi="Times New Roman" w:cs="Times New Roman"/>
          <w:sz w:val="24"/>
          <w:szCs w:val="24"/>
        </w:rPr>
        <w:t xml:space="preserve"> of the 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 a</w:t>
      </w:r>
      <w:r w:rsidRPr="003F48CC">
        <w:rPr>
          <w:rFonts w:ascii="Times New Roman" w:hAnsi="Times New Roman" w:cs="Times New Roman"/>
          <w:sz w:val="24"/>
          <w:szCs w:val="24"/>
        </w:rPr>
        <w:t xml:space="preserve">greement with </w:t>
      </w:r>
      <w:r w:rsidR="00257DB7" w:rsidRPr="00257DB7">
        <w:rPr>
          <w:rFonts w:ascii="Times New Roman" w:hAnsi="Times New Roman" w:cs="Times New Roman"/>
          <w:sz w:val="24"/>
          <w:szCs w:val="24"/>
        </w:rPr>
        <w:t>Subsidiary JSC VTB Bank (Kazakhstan)</w:t>
      </w:r>
      <w:r w:rsidRPr="003F48CC">
        <w:rPr>
          <w:rFonts w:ascii="Times New Roman" w:hAnsi="Times New Roman" w:cs="Times New Roman"/>
          <w:sz w:val="24"/>
          <w:szCs w:val="24"/>
        </w:rPr>
        <w:t xml:space="preserve"> (hereinafter </w:t>
      </w:r>
      <w:r w:rsidR="003F48CC" w:rsidRPr="003F48CC">
        <w:rPr>
          <w:rFonts w:ascii="Times New Roman" w:hAnsi="Times New Roman" w:cs="Times New Roman"/>
          <w:sz w:val="24"/>
          <w:szCs w:val="24"/>
        </w:rPr>
        <w:t>referred to as</w:t>
      </w:r>
      <w:r w:rsidRPr="003F48CC">
        <w:rPr>
          <w:rFonts w:ascii="Times New Roman" w:hAnsi="Times New Roman" w:cs="Times New Roman"/>
          <w:sz w:val="24"/>
          <w:szCs w:val="24"/>
        </w:rPr>
        <w:t xml:space="preserve"> the Bank), </w:t>
      </w:r>
      <w:r w:rsidR="00257DB7">
        <w:rPr>
          <w:rFonts w:ascii="Times New Roman" w:hAnsi="Times New Roman" w:cs="Times New Roman"/>
          <w:sz w:val="24"/>
          <w:szCs w:val="24"/>
        </w:rPr>
        <w:t>t</w:t>
      </w:r>
      <w:r w:rsidRPr="003F48CC">
        <w:rPr>
          <w:rFonts w:ascii="Times New Roman" w:hAnsi="Times New Roman" w:cs="Times New Roman"/>
          <w:sz w:val="24"/>
          <w:szCs w:val="24"/>
        </w:rPr>
        <w:t xml:space="preserve">he </w:t>
      </w:r>
      <w:r w:rsidR="003F48CC" w:rsidRPr="003F48CC">
        <w:rPr>
          <w:rFonts w:ascii="Times New Roman" w:hAnsi="Times New Roman" w:cs="Times New Roman"/>
          <w:sz w:val="24"/>
          <w:szCs w:val="24"/>
        </w:rPr>
        <w:t>Borrower/Co-borrower</w:t>
      </w: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  <w:r w:rsidR="003F48CC" w:rsidRPr="003F48CC">
        <w:rPr>
          <w:rFonts w:ascii="Times New Roman" w:hAnsi="Times New Roman" w:cs="Times New Roman"/>
          <w:sz w:val="24"/>
          <w:szCs w:val="24"/>
        </w:rPr>
        <w:t xml:space="preserve">assume </w:t>
      </w:r>
      <w:r w:rsidRPr="003F48CC">
        <w:rPr>
          <w:rFonts w:ascii="Times New Roman" w:hAnsi="Times New Roman" w:cs="Times New Roman"/>
          <w:sz w:val="24"/>
          <w:szCs w:val="24"/>
        </w:rPr>
        <w:t xml:space="preserve">obligations to duly </w:t>
      </w:r>
      <w:r w:rsidR="003F48CC" w:rsidRPr="003F48CC">
        <w:rPr>
          <w:rFonts w:ascii="Times New Roman" w:hAnsi="Times New Roman" w:cs="Times New Roman"/>
          <w:sz w:val="24"/>
          <w:szCs w:val="24"/>
        </w:rPr>
        <w:t xml:space="preserve">perform </w:t>
      </w:r>
      <w:r w:rsidRPr="003F48CC">
        <w:rPr>
          <w:rFonts w:ascii="Times New Roman" w:hAnsi="Times New Roman" w:cs="Times New Roman"/>
          <w:sz w:val="24"/>
          <w:szCs w:val="24"/>
        </w:rPr>
        <w:t xml:space="preserve">the terms and conditions under the Bank Loan Agreement, 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</w:t>
      </w:r>
      <w:r w:rsidR="003F48CC" w:rsidRPr="003F48CC">
        <w:rPr>
          <w:rFonts w:ascii="Times New Roman" w:hAnsi="Times New Roman" w:cs="Times New Roman"/>
          <w:sz w:val="24"/>
          <w:szCs w:val="24"/>
        </w:rPr>
        <w:t>,</w:t>
      </w:r>
      <w:r w:rsidRPr="003F48CC">
        <w:rPr>
          <w:rFonts w:ascii="Times New Roman" w:hAnsi="Times New Roman" w:cs="Times New Roman"/>
          <w:sz w:val="24"/>
          <w:szCs w:val="24"/>
        </w:rPr>
        <w:t xml:space="preserve"> and shall be liable for </w:t>
      </w:r>
      <w:r w:rsidR="003F48CC" w:rsidRPr="003F48CC">
        <w:rPr>
          <w:rFonts w:ascii="Times New Roman" w:hAnsi="Times New Roman" w:cs="Times New Roman"/>
          <w:sz w:val="24"/>
          <w:szCs w:val="24"/>
        </w:rPr>
        <w:t>performance</w:t>
      </w:r>
      <w:r w:rsidRPr="003F48CC">
        <w:rPr>
          <w:rFonts w:ascii="Times New Roman" w:hAnsi="Times New Roman" w:cs="Times New Roman"/>
          <w:sz w:val="24"/>
          <w:szCs w:val="24"/>
        </w:rPr>
        <w:t xml:space="preserve"> of obligations under the Bank Loan Agreement/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 fully jointly and severally. The </w:t>
      </w:r>
      <w:r w:rsidR="003F48CC" w:rsidRPr="003F48CC">
        <w:rPr>
          <w:rFonts w:ascii="Times New Roman" w:hAnsi="Times New Roman" w:cs="Times New Roman"/>
          <w:sz w:val="24"/>
          <w:szCs w:val="24"/>
        </w:rPr>
        <w:t>Borrower/Co-borrower</w:t>
      </w:r>
      <w:r w:rsidRPr="003F48CC">
        <w:rPr>
          <w:rFonts w:ascii="Times New Roman" w:hAnsi="Times New Roman" w:cs="Times New Roman"/>
          <w:sz w:val="24"/>
          <w:szCs w:val="24"/>
        </w:rPr>
        <w:t xml:space="preserve"> shall </w:t>
      </w:r>
      <w:r w:rsidR="003F48CC" w:rsidRPr="003F48CC">
        <w:rPr>
          <w:rFonts w:ascii="Times New Roman" w:hAnsi="Times New Roman" w:cs="Times New Roman"/>
          <w:sz w:val="24"/>
          <w:szCs w:val="24"/>
        </w:rPr>
        <w:t>collectively</w:t>
      </w:r>
      <w:r w:rsidRPr="003F48CC">
        <w:rPr>
          <w:rFonts w:ascii="Times New Roman" w:hAnsi="Times New Roman" w:cs="Times New Roman"/>
          <w:sz w:val="24"/>
          <w:szCs w:val="24"/>
        </w:rPr>
        <w:t xml:space="preserve"> represent one party (hereinafter referred to as the Borrower) when concluding the Bank Loan Agreement, </w:t>
      </w:r>
      <w:r w:rsidR="003F48CC" w:rsidRPr="003F48CC">
        <w:rPr>
          <w:rFonts w:ascii="Times New Roman" w:hAnsi="Times New Roman" w:cs="Times New Roman"/>
          <w:sz w:val="24"/>
          <w:szCs w:val="24"/>
        </w:rPr>
        <w:t>and 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Agreement. The Bank Loan Agreement, 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Agreement, as well as annexes and supplements to the </w:t>
      </w:r>
      <w:r w:rsidR="003F48CC" w:rsidRPr="003F48CC">
        <w:rPr>
          <w:rFonts w:ascii="Times New Roman" w:hAnsi="Times New Roman" w:cs="Times New Roman"/>
          <w:sz w:val="24"/>
          <w:szCs w:val="24"/>
        </w:rPr>
        <w:t>Credit</w:t>
      </w:r>
      <w:r w:rsidRPr="003F48CC">
        <w:rPr>
          <w:rFonts w:ascii="Times New Roman" w:hAnsi="Times New Roman" w:cs="Times New Roman"/>
          <w:sz w:val="24"/>
          <w:szCs w:val="24"/>
        </w:rPr>
        <w:t xml:space="preserve"> Agreement, are integral parts of each other and constitute a single legal document. 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83748A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83748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The Bank shall be entitled to: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˗ suspend or refuse to provide the Borrower with the Loan 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by the Loan Agreement in the presence of circumstances specified in the </w:t>
      </w:r>
      <w:r w:rsidR="003F48C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Agreement, as well as circumstances obviously indicating that the Borrower/Guarantor (</w:t>
      </w:r>
      <w:r w:rsidRPr="00257DB7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>)/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Pledger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57DB7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) has provided false information when applying for the </w:t>
      </w:r>
      <w:r w:rsidR="003F48C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or the </w:t>
      </w:r>
      <w:r w:rsidR="003F48CC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>amount provided to the Borrower will not be repaid in due time, as well as in cases specified in the Bank Loan Agreement;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˗ verify the </w:t>
      </w:r>
      <w:r w:rsidR="003F48CC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use of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by the Borrower;</w:t>
      </w:r>
    </w:p>
    <w:p w:rsidR="00BF0A69" w:rsidRPr="003F48CC" w:rsidRDefault="00BF0A69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˗ demand 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2A2C08"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>Borrower/Guarantor (</w:t>
      </w:r>
      <w:r w:rsidRPr="00257DB7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) under this Bank Loan Agreement and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 and/or the Collateral Agreement (in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ter alia 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within the framework of taking measures 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by the Bank Loan Agreement and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Agreement), both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collectively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(jointly and severally) from the Borrower and the Guarantor (</w:t>
      </w:r>
      <w:r w:rsidRPr="00257DB7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>), and separately, both in full and in part;</w:t>
      </w:r>
    </w:p>
    <w:p w:rsidR="00BF0A69" w:rsidRPr="003F48CC" w:rsidRDefault="00BF0A69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˗ demand early repayment of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amount and the Interest upon occurrence of the circumstances specified in this Bank Loan Agreement and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Agreement;</w:t>
      </w:r>
    </w:p>
    <w:p w:rsidR="00BF0A69" w:rsidRPr="003F48CC" w:rsidRDefault="00BF0A69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˗ in case of untimely repayment of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and/or payment of the Interest, demand from the Borrower the payment of a forfeit (penalty) in the amount of 0.5% (zero point five percent) of the overdue payment amount for each calendar day of delay within 90 (ninety) days of delay,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cluding the day of debt repayment, but not more than 10% (ten percent) of the issued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amount for each year of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operation of 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Agreement;</w:t>
      </w:r>
    </w:p>
    <w:p w:rsidR="00BF0A69" w:rsidRPr="003F48CC" w:rsidRDefault="00BF0A69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69" w:rsidRPr="003F48CC" w:rsidRDefault="0083748A" w:rsidP="003F48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CC">
        <w:rPr>
          <w:rFonts w:ascii="Times New Roman" w:hAnsi="Times New Roman" w:cs="Times New Roman"/>
          <w:sz w:val="24"/>
          <w:szCs w:val="24"/>
          <w:lang w:val="en-US"/>
        </w:rPr>
        <w:t>˗ in case of non-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and (or) improper 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by the Borrower of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>obligations under the Bank Loan Agreement/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Agreement, the Bank shall be entitled to apply provisions and measures </w:t>
      </w:r>
      <w:r w:rsidR="003F48CC" w:rsidRPr="003F48CC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by the legislation of the Republic of Kazakhstan, Bank Loan Agreement,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3F48CC">
        <w:rPr>
          <w:rFonts w:ascii="Times New Roman" w:hAnsi="Times New Roman" w:cs="Times New Roman"/>
          <w:sz w:val="24"/>
          <w:szCs w:val="24"/>
          <w:lang w:val="en-US"/>
        </w:rPr>
        <w:t xml:space="preserve"> Agreement, including, but not limited to:</w:t>
      </w:r>
    </w:p>
    <w:p w:rsidR="00BF0A69" w:rsidRPr="002A2C08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repudiate 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completely the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Agreement and/or Bank Loan Agreement with termination of the said Agreements without prior notice to the Borrower;</w:t>
      </w:r>
    </w:p>
    <w:p w:rsidR="00BF0A69" w:rsidRPr="002A2C08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consider the application of measures stipulated by the legislation of the Republic of Kazakhstan, Bank Loan Agreement, </w:t>
      </w:r>
      <w:r>
        <w:rPr>
          <w:rFonts w:ascii="Times New Roman" w:hAnsi="Times New Roman" w:cs="Times New Roman"/>
          <w:sz w:val="24"/>
          <w:szCs w:val="24"/>
          <w:lang w:val="en-US"/>
        </w:rPr>
        <w:t>and Credit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Agreement;</w:t>
      </w:r>
    </w:p>
    <w:p w:rsidR="00BF0A69" w:rsidRPr="002A2C08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C08">
        <w:rPr>
          <w:rFonts w:ascii="Times New Roman" w:hAnsi="Times New Roman" w:cs="Times New Roman"/>
          <w:sz w:val="24"/>
          <w:szCs w:val="24"/>
          <w:lang w:val="en-US"/>
        </w:rPr>
        <w:t>to demand payment by the Borrower of forfeit (fine, penalty);</w:t>
      </w:r>
    </w:p>
    <w:p w:rsidR="00BF0A69" w:rsidRPr="002A2C08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the Borrower to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all obligations under the Bank Loan Agreement,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Agreement, and other transactions concluded between the Bank and the Borrower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in the stipulated manner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2A2C08">
        <w:rPr>
          <w:rFonts w:ascii="Times New Roman" w:hAnsi="Times New Roman" w:cs="Times New Roman"/>
          <w:sz w:val="24"/>
          <w:szCs w:val="24"/>
          <w:lang w:val="en-US"/>
        </w:rPr>
        <w:t>acceleration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of the Loan and early payment of the Interest;</w:t>
      </w:r>
    </w:p>
    <w:p w:rsidR="00BF0A69" w:rsidRPr="002A2C08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require the Borrower to provide</w:t>
      </w:r>
      <w:r w:rsidR="00257DB7">
        <w:rPr>
          <w:rFonts w:ascii="Times New Roman" w:hAnsi="Times New Roman" w:cs="Times New Roman"/>
          <w:sz w:val="24"/>
          <w:szCs w:val="24"/>
          <w:lang w:val="en-US"/>
        </w:rPr>
        <w:t xml:space="preserve"> collateral satisfying the Bank’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>s requirements;</w:t>
      </w:r>
    </w:p>
    <w:p w:rsidR="00CF7CCF" w:rsidRDefault="0083748A" w:rsidP="00CF7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withdraw any amounts payable by the Borrower/Guarantor (if any) under the Bank Loan Agreement and the </w:t>
      </w:r>
      <w:r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Agreement and/or the </w:t>
      </w:r>
      <w:r>
        <w:rPr>
          <w:rFonts w:ascii="Times New Roman" w:hAnsi="Times New Roman" w:cs="Times New Roman"/>
          <w:sz w:val="24"/>
          <w:szCs w:val="24"/>
          <w:lang w:val="en-US"/>
        </w:rPr>
        <w:t>Collateral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Agreement, </w:t>
      </w:r>
      <w:r w:rsidRPr="002A2C08">
        <w:rPr>
          <w:rFonts w:ascii="Times New Roman" w:hAnsi="Times New Roman" w:cs="Times New Roman"/>
          <w:sz w:val="24"/>
          <w:szCs w:val="24"/>
          <w:lang w:val="en-US"/>
        </w:rPr>
        <w:t>if any,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>by direct debit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any bank accounts of the Borrower/Guarantor (if any)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 any bank and/or 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carrying out 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certain types of banking operations and other credit organizations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in the territory of the Republic of Kazakhstan and abroad, in cases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manner prescribed 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by this Bank Loan Agreement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Credit Agreement, and/or 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>the Collateral 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except for money which cannot be foreclosed by the Bank accord</w:t>
      </w:r>
      <w:r>
        <w:rPr>
          <w:rFonts w:ascii="Times New Roman" w:hAnsi="Times New Roman" w:cs="Times New Roman"/>
          <w:sz w:val="24"/>
          <w:szCs w:val="24"/>
          <w:lang w:val="en-US"/>
        </w:rPr>
        <w:t>ing 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the requirements of the current legislation of the Republic of Kazakhstan</w:t>
      </w:r>
      <w:r w:rsidR="00BF0A69" w:rsidRPr="002A2C0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0A69" w:rsidRPr="00CF7CCF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transfer the debt for pre-trial collection and settlement to a collection agency accord</w:t>
      </w:r>
      <w:r>
        <w:rPr>
          <w:rFonts w:ascii="Times New Roman" w:hAnsi="Times New Roman" w:cs="Times New Roman"/>
          <w:sz w:val="24"/>
          <w:szCs w:val="24"/>
          <w:lang w:val="en-US"/>
        </w:rPr>
        <w:t>ing 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the legislation of the Republic of Kazakhstan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and the terms and conditions of the Bank Loan Agreement, and Credit Agreement;</w:t>
      </w:r>
    </w:p>
    <w:p w:rsidR="00BF0A69" w:rsidRPr="00CF7CCF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collect the Borrower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/Guarantor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(if any) debt through the judicial procedure (in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 alia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assign debt collection to third parties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manner </w:t>
      </w:r>
      <w:r w:rsidR="003F48CC" w:rsidRPr="00CF7CCF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by the legislation of the Republic of Kazakhstan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and provid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them with the documentation and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to fulfill the Bank's order);</w:t>
      </w:r>
    </w:p>
    <w:p w:rsidR="00BF0A69" w:rsidRPr="00CF7CCF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demand </w:t>
      </w:r>
      <w:r>
        <w:rPr>
          <w:rFonts w:ascii="Times New Roman" w:hAnsi="Times New Roman" w:cs="Times New Roman"/>
          <w:sz w:val="24"/>
          <w:szCs w:val="24"/>
          <w:lang w:val="en-US"/>
        </w:rPr>
        <w:t>compensation for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costs, damages, and losses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caused by default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of obligations under the Loan;</w:t>
      </w:r>
    </w:p>
    <w:p w:rsidR="00BF0A69" w:rsidRPr="00CF7CCF" w:rsidRDefault="00257DB7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notify the Borrower’</w:t>
      </w:r>
      <w:r w:rsidR="0083748A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s employer of the fact of </w:t>
      </w:r>
      <w:r w:rsidR="00CF7CCF" w:rsidRPr="00CF7CCF">
        <w:rPr>
          <w:rFonts w:ascii="Times New Roman" w:hAnsi="Times New Roman" w:cs="Times New Roman"/>
          <w:sz w:val="24"/>
          <w:szCs w:val="24"/>
          <w:lang w:val="en-US"/>
        </w:rPr>
        <w:t>the Borrower</w:t>
      </w:r>
      <w:r w:rsidR="00CF7CC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CF7CCF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48A" w:rsidRPr="00CF7CCF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3F48CC" w:rsidRPr="00CF7CCF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83748A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of obligations under the Bank Loan Agreement, </w:t>
      </w:r>
      <w:r w:rsidR="00CF7CCF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83748A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Agreement</w:t>
      </w:r>
    </w:p>
    <w:p w:rsidR="00BF0A69" w:rsidRPr="00CF7CCF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assign the right (claim) under the Bank Loan Agreement, </w:t>
      </w:r>
      <w:r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Agreement to a third party, accord</w:t>
      </w:r>
      <w:r>
        <w:rPr>
          <w:rFonts w:ascii="Times New Roman" w:hAnsi="Times New Roman" w:cs="Times New Roman"/>
          <w:sz w:val="24"/>
          <w:szCs w:val="24"/>
          <w:lang w:val="en-US"/>
        </w:rPr>
        <w:t>ing 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the legislation of the Republic of Kazakhstan, if the Borrower is in arrears in </w:t>
      </w:r>
      <w:r w:rsidR="003F48CC" w:rsidRPr="00CF7CCF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of obligations under the Agreement for more than 90 (ninety) consecutive calendar days;</w:t>
      </w:r>
    </w:p>
    <w:p w:rsidR="00BF0A69" w:rsidRPr="00CF7CCF" w:rsidRDefault="0083748A" w:rsidP="002A2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take other measures, including debt collection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measures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, accord</w:t>
      </w:r>
      <w:r>
        <w:rPr>
          <w:rFonts w:ascii="Times New Roman" w:hAnsi="Times New Roman" w:cs="Times New Roman"/>
          <w:sz w:val="24"/>
          <w:szCs w:val="24"/>
          <w:lang w:val="en-US"/>
        </w:rPr>
        <w:t>ing to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the legislation of the Republic of Kazakhstan, the Bank Loan Agreement, </w:t>
      </w:r>
      <w:r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 Agreement.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3F48CC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F48CC">
        <w:rPr>
          <w:rFonts w:ascii="Times New Roman" w:hAnsi="Times New Roman" w:cs="Times New Roman"/>
          <w:sz w:val="24"/>
          <w:szCs w:val="24"/>
        </w:rPr>
        <w:t xml:space="preserve">he Bank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3F48CC">
        <w:rPr>
          <w:rFonts w:ascii="Times New Roman" w:hAnsi="Times New Roman" w:cs="Times New Roman"/>
          <w:sz w:val="24"/>
          <w:szCs w:val="24"/>
        </w:rPr>
        <w:t>independently determin</w:t>
      </w:r>
      <w:r>
        <w:rPr>
          <w:rFonts w:ascii="Times New Roman" w:hAnsi="Times New Roman" w:cs="Times New Roman"/>
          <w:sz w:val="24"/>
          <w:szCs w:val="24"/>
        </w:rPr>
        <w:t>e the</w:t>
      </w: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48CC">
        <w:rPr>
          <w:rFonts w:ascii="Times New Roman" w:hAnsi="Times New Roman" w:cs="Times New Roman"/>
          <w:sz w:val="24"/>
          <w:szCs w:val="24"/>
        </w:rPr>
        <w:t xml:space="preserve">pplication of another measure (or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F48CC">
        <w:rPr>
          <w:rFonts w:ascii="Times New Roman" w:hAnsi="Times New Roman" w:cs="Times New Roman"/>
          <w:sz w:val="24"/>
          <w:szCs w:val="24"/>
        </w:rPr>
        <w:t>application of measures in aggregate).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257DB7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DB7">
        <w:rPr>
          <w:rFonts w:ascii="Times New Roman" w:hAnsi="Times New Roman" w:cs="Times New Roman"/>
          <w:sz w:val="24"/>
          <w:szCs w:val="24"/>
          <w:u w:val="single"/>
        </w:rPr>
        <w:t>Responsibility of the Borrower: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CF7CCF" w:rsidRDefault="0083748A" w:rsidP="00CF7C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˗ forfeit (penalty) for late repayment of the Loan and/or payment of the Interest - 0.5% (zero point five) percent of the </w:t>
      </w:r>
      <w:r w:rsidR="00CF7CCF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overdue payment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amount for each calendar day of delay within 90 (ninety) days of delay, but not more than 10% (ten) percent of the </w:t>
      </w:r>
      <w:r w:rsidR="00CF7CCF"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issued Loan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 xml:space="preserve">amount for each year of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 xml:space="preserve">operation of </w:t>
      </w:r>
      <w:r w:rsidRPr="00CF7CCF">
        <w:rPr>
          <w:rFonts w:ascii="Times New Roman" w:hAnsi="Times New Roman" w:cs="Times New Roman"/>
          <w:sz w:val="24"/>
          <w:szCs w:val="24"/>
          <w:lang w:val="en-US"/>
        </w:rPr>
        <w:t>the Loan Agreement;</w:t>
      </w:r>
    </w:p>
    <w:p w:rsidR="00BF0A69" w:rsidRPr="00CE5640" w:rsidRDefault="0083748A" w:rsidP="00CF7C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˗ forfeit for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>nonperformance of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the obligation to notify the Bank of changes in the status, details, and other data of the Borrower </w:t>
      </w:r>
      <w:r w:rsidR="003F48CC" w:rsidRPr="00CE5640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by the Bank Loan Agreement - in the amount of 5,000 (five thousand) tenge for each case of violation and to reimburse the Bank for losses incur</w:t>
      </w:r>
      <w:r w:rsidR="00257DB7">
        <w:rPr>
          <w:rFonts w:ascii="Times New Roman" w:hAnsi="Times New Roman" w:cs="Times New Roman"/>
          <w:sz w:val="24"/>
          <w:szCs w:val="24"/>
          <w:lang w:val="en-US"/>
        </w:rPr>
        <w:t>red as a result of the Borrower’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>nonperformance of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this obligation in full.</w:t>
      </w:r>
    </w:p>
    <w:p w:rsidR="00BF0A69" w:rsidRPr="00CE5640" w:rsidRDefault="0083748A" w:rsidP="00CF7C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˗ forfeit for misuse of the Loan - in the amount of 25% (twenty-five percent) of the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amount not used for the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purpose.</w:t>
      </w:r>
    </w:p>
    <w:p w:rsidR="00BF0A69" w:rsidRPr="00CE5640" w:rsidRDefault="0083748A" w:rsidP="00CF7C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64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˗ </w:t>
      </w:r>
      <w:r w:rsidR="00CE5640"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forfeit </w:t>
      </w:r>
      <w:r w:rsidR="008D5D9F">
        <w:rPr>
          <w:rFonts w:ascii="Times New Roman" w:hAnsi="Times New Roman" w:cs="Times New Roman"/>
          <w:sz w:val="24"/>
          <w:szCs w:val="24"/>
          <w:lang w:val="en-US"/>
        </w:rPr>
        <w:t>for the Borrower’</w:t>
      </w:r>
      <w:bookmarkStart w:id="0" w:name="_GoBack"/>
      <w:bookmarkEnd w:id="0"/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s violation of other obligations under the Bank Loan Agreement and/or the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Agreement - in the amount of 0.5% (zero point five percent) of the 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amount for</w:t>
      </w:r>
      <w:r w:rsidR="00CE5640">
        <w:rPr>
          <w:rFonts w:ascii="Times New Roman" w:hAnsi="Times New Roman" w:cs="Times New Roman"/>
          <w:sz w:val="24"/>
          <w:szCs w:val="24"/>
          <w:lang w:val="en-US"/>
        </w:rPr>
        <w:t xml:space="preserve"> each calendar day of violation,</w:t>
      </w:r>
      <w:r w:rsidRPr="00CE5640">
        <w:rPr>
          <w:rFonts w:ascii="Times New Roman" w:hAnsi="Times New Roman" w:cs="Times New Roman"/>
          <w:sz w:val="24"/>
          <w:szCs w:val="24"/>
          <w:lang w:val="en-US"/>
        </w:rPr>
        <w:t xml:space="preserve"> for each case of violation.</w:t>
      </w: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3F48CC" w:rsidRDefault="00BF0A69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257DB7">
        <w:rPr>
          <w:rFonts w:eastAsiaTheme="minorHAnsi"/>
          <w:color w:val="auto"/>
          <w:kern w:val="2"/>
          <w:lang w:val="en-US" w:eastAsia="en-US"/>
          <w14:ligatures w14:val="standardContextual"/>
        </w:rPr>
        <w:t>Annex 2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to </w:t>
      </w:r>
      <w:r w:rsidRPr="00257DB7">
        <w:rPr>
          <w:rFonts w:eastAsiaTheme="minorHAnsi"/>
          <w:color w:val="0070C0"/>
          <w:kern w:val="2"/>
          <w:u w:val="single"/>
          <w:lang w:val="en-US" w:eastAsia="en-US"/>
          <w14:ligatures w14:val="standardContextual"/>
        </w:rPr>
        <w:t>the Resolution</w:t>
      </w:r>
    </w:p>
    <w:p w:rsidR="00BF0A69" w:rsidRPr="00AF7295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of the </w:t>
      </w:r>
      <w:r w:rsidR="00AF7295"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Management Board 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of the 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Agency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>of the Republic of Kazakhstan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>
        <w:rPr>
          <w:rFonts w:eastAsiaTheme="minorHAnsi"/>
          <w:color w:val="auto"/>
          <w:kern w:val="2"/>
          <w:lang w:val="en-US" w:eastAsia="en-US"/>
          <w14:ligatures w14:val="standardContextual"/>
        </w:rPr>
        <w:t>for</w:t>
      </w: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 regulation and development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>financial market</w:t>
      </w:r>
    </w:p>
    <w:p w:rsidR="00BF0A69" w:rsidRPr="00AF7295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№ 4</w:t>
      </w:r>
      <w:r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 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dated </w:t>
      </w:r>
      <w:r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29 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January 2024</w:t>
      </w:r>
    </w:p>
    <w:p w:rsidR="00BF0A69" w:rsidRPr="00AF7295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Annex 2</w:t>
      </w:r>
    </w:p>
    <w:p w:rsidR="00BF0A69" w:rsidRPr="00AF7295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to the Rules for 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the p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rovision of 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b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anking 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s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ervices </w:t>
      </w:r>
    </w:p>
    <w:p w:rsidR="00BF0A69" w:rsidRPr="00AF7295" w:rsidRDefault="0083748A" w:rsidP="00AF7295">
      <w:pPr>
        <w:pStyle w:val="pr"/>
        <w:ind w:left="3686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and consideration by banks, organizations 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>carrying out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 certain types of banking operations,</w:t>
      </w:r>
      <w:r w:rsid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 </w:t>
      </w:r>
      <w:r w:rsidRPr="00AF7295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customer appeals, 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>arising in the process of rendering banking services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 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full name (name) 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and residence (location) of the borrower 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 xml:space="preserve">date of notice formation </w:t>
      </w:r>
    </w:p>
    <w:p w:rsidR="00BF0A69" w:rsidRPr="0083748A" w:rsidRDefault="0083748A" w:rsidP="00CE5640">
      <w:pPr>
        <w:pStyle w:val="pr"/>
        <w:rPr>
          <w:rFonts w:eastAsiaTheme="minorHAnsi"/>
          <w:color w:val="auto"/>
          <w:kern w:val="2"/>
          <w:lang w:val="en-US" w:eastAsia="en-US"/>
          <w14:ligatures w14:val="standardContextual"/>
        </w:rPr>
      </w:pPr>
      <w:r w:rsidRPr="0083748A">
        <w:rPr>
          <w:rFonts w:eastAsiaTheme="minorHAnsi"/>
          <w:color w:val="auto"/>
          <w:kern w:val="2"/>
          <w:lang w:val="en-US" w:eastAsia="en-US"/>
          <w14:ligatures w14:val="standardContextual"/>
        </w:rPr>
        <w:t>(day, month, year)</w:t>
      </w:r>
    </w:p>
    <w:p w:rsidR="00BF0A69" w:rsidRPr="003F48CC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69" w:rsidRPr="003F48CC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69" w:rsidRPr="003F48CC" w:rsidRDefault="0083748A" w:rsidP="00AF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F7295">
        <w:rPr>
          <w:rFonts w:ascii="Times New Roman" w:hAnsi="Times New Roman" w:cs="Times New Roman"/>
          <w:sz w:val="24"/>
          <w:szCs w:val="24"/>
        </w:rPr>
        <w:t>posted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on the </w:t>
      </w:r>
      <w:r w:rsidR="00AF7295" w:rsidRPr="003F48CC">
        <w:rPr>
          <w:rFonts w:ascii="Times New Roman" w:hAnsi="Times New Roman" w:cs="Times New Roman"/>
          <w:sz w:val="24"/>
          <w:szCs w:val="24"/>
        </w:rPr>
        <w:t>bank</w:t>
      </w:r>
      <w:r w:rsidR="00AF7295">
        <w:rPr>
          <w:rFonts w:ascii="Times New Roman" w:hAnsi="Times New Roman" w:cs="Times New Roman"/>
          <w:sz w:val="24"/>
          <w:szCs w:val="24"/>
        </w:rPr>
        <w:t>’s</w:t>
      </w:r>
      <w:r w:rsidR="00AF7295" w:rsidRPr="003F48CC">
        <w:rPr>
          <w:rFonts w:ascii="Times New Roman" w:hAnsi="Times New Roman" w:cs="Times New Roman"/>
          <w:sz w:val="24"/>
          <w:szCs w:val="24"/>
        </w:rPr>
        <w:t xml:space="preserve"> </w:t>
      </w:r>
      <w:r w:rsidRPr="003F48CC">
        <w:rPr>
          <w:rFonts w:ascii="Times New Roman" w:hAnsi="Times New Roman" w:cs="Times New Roman"/>
          <w:sz w:val="24"/>
          <w:szCs w:val="24"/>
        </w:rPr>
        <w:t xml:space="preserve">Internet resource and (or) in the mobile application </w:t>
      </w:r>
    </w:p>
    <w:p w:rsidR="00BF0A69" w:rsidRPr="003F48CC" w:rsidRDefault="0083748A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69" w:rsidRPr="003F48CC" w:rsidRDefault="0083748A" w:rsidP="00AF7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If the borrower is an individual, he/she shall </w:t>
      </w:r>
      <w:r w:rsidR="00AF7295">
        <w:rPr>
          <w:rFonts w:ascii="Times New Roman" w:hAnsi="Times New Roman" w:cs="Times New Roman"/>
          <w:sz w:val="24"/>
          <w:szCs w:val="24"/>
        </w:rPr>
        <w:t xml:space="preserve">be entitled </w:t>
      </w:r>
      <w:r w:rsidRPr="003F48CC">
        <w:rPr>
          <w:rFonts w:ascii="Times New Roman" w:hAnsi="Times New Roman" w:cs="Times New Roman"/>
          <w:sz w:val="24"/>
          <w:szCs w:val="24"/>
        </w:rPr>
        <w:t xml:space="preserve">within thirty calendar days from the date of occurrence of delay in </w:t>
      </w:r>
      <w:r w:rsidR="003F48CC" w:rsidRPr="003F48CC">
        <w:rPr>
          <w:rFonts w:ascii="Times New Roman" w:hAnsi="Times New Roman" w:cs="Times New Roman"/>
          <w:sz w:val="24"/>
          <w:szCs w:val="24"/>
        </w:rPr>
        <w:t>performance</w:t>
      </w:r>
      <w:r w:rsidRPr="003F48CC">
        <w:rPr>
          <w:rFonts w:ascii="Times New Roman" w:hAnsi="Times New Roman" w:cs="Times New Roman"/>
          <w:sz w:val="24"/>
          <w:szCs w:val="24"/>
        </w:rPr>
        <w:t xml:space="preserve"> of an obligation under the bank loan agreement (hereinafter referred to as the Agreement) to visit the Bank and (or) submit in writing or by the method </w:t>
      </w:r>
      <w:r w:rsidR="003F48CC">
        <w:rPr>
          <w:rFonts w:ascii="Times New Roman" w:hAnsi="Times New Roman" w:cs="Times New Roman"/>
          <w:sz w:val="24"/>
          <w:szCs w:val="24"/>
        </w:rPr>
        <w:t>stipulated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by the Agreement a</w:t>
      </w:r>
      <w:r w:rsidR="00AF7295">
        <w:rPr>
          <w:rFonts w:ascii="Times New Roman" w:hAnsi="Times New Roman" w:cs="Times New Roman"/>
          <w:sz w:val="24"/>
          <w:szCs w:val="24"/>
        </w:rPr>
        <w:t>n application</w:t>
      </w:r>
      <w:r w:rsidRPr="003F48CC">
        <w:rPr>
          <w:rFonts w:ascii="Times New Roman" w:hAnsi="Times New Roman" w:cs="Times New Roman"/>
          <w:sz w:val="24"/>
          <w:szCs w:val="24"/>
        </w:rPr>
        <w:t xml:space="preserve"> containing information on the reasons for the occurrence of delay in </w:t>
      </w:r>
      <w:r w:rsidR="003F48CC" w:rsidRPr="003F48CC">
        <w:rPr>
          <w:rFonts w:ascii="Times New Roman" w:hAnsi="Times New Roman" w:cs="Times New Roman"/>
          <w:sz w:val="24"/>
          <w:szCs w:val="24"/>
        </w:rPr>
        <w:t>performance</w:t>
      </w:r>
      <w:r w:rsidRPr="003F48CC">
        <w:rPr>
          <w:rFonts w:ascii="Times New Roman" w:hAnsi="Times New Roman" w:cs="Times New Roman"/>
          <w:sz w:val="24"/>
          <w:szCs w:val="24"/>
        </w:rPr>
        <w:t xml:space="preserve"> of an obligation under the Agreement, income and other confirmed circumstances (facts), which cause his/her application for </w:t>
      </w:r>
      <w:r w:rsidR="00AF7295">
        <w:rPr>
          <w:rFonts w:ascii="Times New Roman" w:hAnsi="Times New Roman" w:cs="Times New Roman"/>
          <w:sz w:val="24"/>
          <w:szCs w:val="24"/>
        </w:rPr>
        <w:t xml:space="preserve">making </w:t>
      </w:r>
      <w:r w:rsidRPr="003F48CC">
        <w:rPr>
          <w:rFonts w:ascii="Times New Roman" w:hAnsi="Times New Roman" w:cs="Times New Roman"/>
          <w:sz w:val="24"/>
          <w:szCs w:val="24"/>
        </w:rPr>
        <w:t>amendments to the terms and conditions of the Agreement, accord</w:t>
      </w:r>
      <w:r w:rsidR="00AF7295">
        <w:rPr>
          <w:rFonts w:ascii="Times New Roman" w:hAnsi="Times New Roman" w:cs="Times New Roman"/>
          <w:sz w:val="24"/>
          <w:szCs w:val="24"/>
        </w:rPr>
        <w:t>ing to</w:t>
      </w:r>
      <w:r w:rsidRPr="003F48CC">
        <w:rPr>
          <w:rFonts w:ascii="Times New Roman" w:hAnsi="Times New Roman" w:cs="Times New Roman"/>
          <w:sz w:val="24"/>
          <w:szCs w:val="24"/>
        </w:rPr>
        <w:t xml:space="preserve"> </w:t>
      </w:r>
      <w:r w:rsidR="00AF7295">
        <w:rPr>
          <w:rFonts w:ascii="Times New Roman" w:hAnsi="Times New Roman" w:cs="Times New Roman"/>
          <w:sz w:val="24"/>
          <w:szCs w:val="24"/>
        </w:rPr>
        <w:t>clause 1-1 of Article 36 of the Law of the Republic of Kazakhstan “On banks and banking in the Republic of Kazakhstan” (hereinafter referred to as the Law on banks).</w:t>
      </w:r>
    </w:p>
    <w:p w:rsidR="00BF0A69" w:rsidRPr="003F48CC" w:rsidRDefault="0083748A" w:rsidP="00AF7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In this case, within fifteen calendar days after the day of receipt of the </w:t>
      </w:r>
      <w:r w:rsidR="00AF7295" w:rsidRPr="003F48CC">
        <w:rPr>
          <w:rFonts w:ascii="Times New Roman" w:hAnsi="Times New Roman" w:cs="Times New Roman"/>
          <w:sz w:val="24"/>
          <w:szCs w:val="24"/>
        </w:rPr>
        <w:t>individual borrower</w:t>
      </w:r>
      <w:r w:rsidR="00AF7295">
        <w:rPr>
          <w:rFonts w:ascii="Times New Roman" w:hAnsi="Times New Roman" w:cs="Times New Roman"/>
          <w:sz w:val="24"/>
          <w:szCs w:val="24"/>
        </w:rPr>
        <w:t>’s</w:t>
      </w:r>
      <w:r w:rsidR="00AF7295" w:rsidRPr="003F48CC">
        <w:rPr>
          <w:rFonts w:ascii="Times New Roman" w:hAnsi="Times New Roman" w:cs="Times New Roman"/>
          <w:sz w:val="24"/>
          <w:szCs w:val="24"/>
        </w:rPr>
        <w:t xml:space="preserve"> </w:t>
      </w:r>
      <w:r w:rsidRPr="003F48C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F7295">
        <w:rPr>
          <w:rFonts w:ascii="Times New Roman" w:hAnsi="Times New Roman" w:cs="Times New Roman"/>
          <w:sz w:val="24"/>
          <w:szCs w:val="24"/>
        </w:rPr>
        <w:t xml:space="preserve">stipulated by </w:t>
      </w:r>
      <w:r w:rsidRPr="003F48CC">
        <w:rPr>
          <w:rFonts w:ascii="Times New Roman" w:hAnsi="Times New Roman" w:cs="Times New Roman"/>
          <w:sz w:val="24"/>
          <w:szCs w:val="24"/>
        </w:rPr>
        <w:t>clause 1-1 of Article 36 of the Law</w:t>
      </w:r>
      <w:r w:rsidR="00AF7295" w:rsidRPr="00AF7295">
        <w:rPr>
          <w:rFonts w:ascii="Times New Roman" w:hAnsi="Times New Roman" w:cs="Times New Roman"/>
          <w:sz w:val="24"/>
          <w:szCs w:val="24"/>
        </w:rPr>
        <w:t xml:space="preserve"> </w:t>
      </w:r>
      <w:r w:rsidR="00AF7295">
        <w:rPr>
          <w:rFonts w:ascii="Times New Roman" w:hAnsi="Times New Roman" w:cs="Times New Roman"/>
          <w:sz w:val="24"/>
          <w:szCs w:val="24"/>
        </w:rPr>
        <w:t>on banks</w:t>
      </w:r>
      <w:r w:rsidRPr="003F48CC">
        <w:rPr>
          <w:rFonts w:ascii="Times New Roman" w:hAnsi="Times New Roman" w:cs="Times New Roman"/>
          <w:sz w:val="24"/>
          <w:szCs w:val="24"/>
        </w:rPr>
        <w:t xml:space="preserve">, the Bank shall consider the amendments to the terms and conditions of the Agreement proposed by the </w:t>
      </w:r>
      <w:r w:rsidR="00AF7295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 xml:space="preserve">borrower and shall notify the </w:t>
      </w:r>
      <w:r w:rsidR="00AF7295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 xml:space="preserve">borrower in writing or the manner </w:t>
      </w:r>
      <w:r w:rsidR="003F48CC">
        <w:rPr>
          <w:rFonts w:ascii="Times New Roman" w:hAnsi="Times New Roman" w:cs="Times New Roman"/>
          <w:sz w:val="24"/>
          <w:szCs w:val="24"/>
        </w:rPr>
        <w:t>stipulated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in the Agreement about:</w:t>
      </w:r>
    </w:p>
    <w:p w:rsidR="00BF0A69" w:rsidRPr="00AF7295" w:rsidRDefault="0083748A" w:rsidP="00AF7295">
      <w:pPr>
        <w:pStyle w:val="pj"/>
        <w:rPr>
          <w:rStyle w:val="s0"/>
          <w:lang w:val="en-US"/>
        </w:rPr>
      </w:pPr>
      <w:r w:rsidRPr="00AF7295">
        <w:rPr>
          <w:rStyle w:val="s0"/>
          <w:lang w:val="en-US"/>
        </w:rPr>
        <w:t>1) a</w:t>
      </w:r>
      <w:r w:rsidR="00AF7295">
        <w:rPr>
          <w:rStyle w:val="s0"/>
          <w:lang w:val="en-US"/>
        </w:rPr>
        <w:t xml:space="preserve">cceptance of </w:t>
      </w:r>
      <w:r w:rsidRPr="00AF7295">
        <w:rPr>
          <w:rStyle w:val="s0"/>
          <w:lang w:val="en-US"/>
        </w:rPr>
        <w:t>the proposed amendments to the terms and conditions of the Agreement;</w:t>
      </w:r>
    </w:p>
    <w:p w:rsidR="00BF0A69" w:rsidRPr="00AF7295" w:rsidRDefault="0083748A" w:rsidP="00AF7295">
      <w:pPr>
        <w:pStyle w:val="pj"/>
        <w:rPr>
          <w:rStyle w:val="s0"/>
          <w:lang w:val="en-US"/>
        </w:rPr>
      </w:pPr>
      <w:r w:rsidRPr="00AF7295">
        <w:rPr>
          <w:rStyle w:val="s0"/>
          <w:lang w:val="en-US"/>
        </w:rPr>
        <w:t xml:space="preserve">2) its proposals to </w:t>
      </w:r>
      <w:r w:rsidR="00AF7295">
        <w:rPr>
          <w:rStyle w:val="s0"/>
          <w:lang w:val="en-US"/>
        </w:rPr>
        <w:t xml:space="preserve">amend </w:t>
      </w:r>
      <w:r w:rsidRPr="00AF7295">
        <w:rPr>
          <w:rStyle w:val="s0"/>
          <w:lang w:val="en-US"/>
        </w:rPr>
        <w:t>the terms and conditions of the Agreement;</w:t>
      </w:r>
    </w:p>
    <w:p w:rsidR="00BF0A69" w:rsidRPr="00AF7295" w:rsidRDefault="0083748A" w:rsidP="00AF7295">
      <w:pPr>
        <w:pStyle w:val="pj"/>
        <w:rPr>
          <w:rStyle w:val="s0"/>
          <w:lang w:val="en-US"/>
        </w:rPr>
      </w:pPr>
      <w:r w:rsidRPr="00AF7295">
        <w:rPr>
          <w:rStyle w:val="s0"/>
          <w:lang w:val="en-US"/>
        </w:rPr>
        <w:t>3) refusal to amend the terms and conditions of the Agreement indicatin</w:t>
      </w:r>
      <w:r w:rsidR="00AF7295">
        <w:rPr>
          <w:rStyle w:val="s0"/>
          <w:lang w:val="en-US"/>
        </w:rPr>
        <w:t>g</w:t>
      </w:r>
      <w:r w:rsidRPr="00AF7295">
        <w:rPr>
          <w:rStyle w:val="s0"/>
          <w:lang w:val="en-US"/>
        </w:rPr>
        <w:t xml:space="preserve"> motivated reasons for such refusal.</w:t>
      </w:r>
    </w:p>
    <w:p w:rsidR="00BF0A69" w:rsidRPr="003F48CC" w:rsidRDefault="0083748A" w:rsidP="00AF729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>In case of receipt of th</w:t>
      </w:r>
      <w:r w:rsidR="009227F5">
        <w:rPr>
          <w:rFonts w:ascii="Times New Roman" w:hAnsi="Times New Roman" w:cs="Times New Roman"/>
          <w:sz w:val="24"/>
          <w:szCs w:val="24"/>
        </w:rPr>
        <w:t>e Bank’</w:t>
      </w:r>
      <w:r w:rsidRPr="003F48CC">
        <w:rPr>
          <w:rFonts w:ascii="Times New Roman" w:hAnsi="Times New Roman" w:cs="Times New Roman"/>
          <w:sz w:val="24"/>
          <w:szCs w:val="24"/>
        </w:rPr>
        <w:t xml:space="preserve">s decision to refuse to </w:t>
      </w:r>
      <w:r w:rsidR="00AF7295">
        <w:rPr>
          <w:rFonts w:ascii="Times New Roman" w:hAnsi="Times New Roman" w:cs="Times New Roman"/>
          <w:sz w:val="24"/>
          <w:szCs w:val="24"/>
        </w:rPr>
        <w:t>amend</w:t>
      </w:r>
      <w:r w:rsidRPr="003F48CC">
        <w:rPr>
          <w:rFonts w:ascii="Times New Roman" w:hAnsi="Times New Roman" w:cs="Times New Roman"/>
          <w:sz w:val="24"/>
          <w:szCs w:val="24"/>
        </w:rPr>
        <w:t xml:space="preserve"> the terms </w:t>
      </w:r>
      <w:r w:rsidR="00AF7295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Pr="003F48CC">
        <w:rPr>
          <w:rFonts w:ascii="Times New Roman" w:hAnsi="Times New Roman" w:cs="Times New Roman"/>
          <w:sz w:val="24"/>
          <w:szCs w:val="24"/>
        </w:rPr>
        <w:t xml:space="preserve">of the Agreement or in case of failure to reach a mutually acceptable decision to </w:t>
      </w:r>
      <w:r w:rsidR="00AF7295">
        <w:rPr>
          <w:rFonts w:ascii="Times New Roman" w:hAnsi="Times New Roman" w:cs="Times New Roman"/>
          <w:sz w:val="24"/>
          <w:szCs w:val="24"/>
        </w:rPr>
        <w:t xml:space="preserve">amend </w:t>
      </w:r>
      <w:r w:rsidRPr="003F48CC">
        <w:rPr>
          <w:rFonts w:ascii="Times New Roman" w:hAnsi="Times New Roman" w:cs="Times New Roman"/>
          <w:sz w:val="24"/>
          <w:szCs w:val="24"/>
        </w:rPr>
        <w:t xml:space="preserve">the terms </w:t>
      </w:r>
      <w:r w:rsidR="00AF7295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Pr="003F48CC">
        <w:rPr>
          <w:rFonts w:ascii="Times New Roman" w:hAnsi="Times New Roman" w:cs="Times New Roman"/>
          <w:sz w:val="24"/>
          <w:szCs w:val="24"/>
        </w:rPr>
        <w:t xml:space="preserve">of the Agreement, the </w:t>
      </w:r>
      <w:r w:rsidR="00AF7295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 xml:space="preserve">borrower within 15 (fifteen) calendar days from </w:t>
      </w:r>
      <w:r w:rsidR="00257DB7">
        <w:rPr>
          <w:rFonts w:ascii="Times New Roman" w:hAnsi="Times New Roman" w:cs="Times New Roman"/>
          <w:sz w:val="24"/>
          <w:szCs w:val="24"/>
        </w:rPr>
        <w:t>the date of receipt of the Bank’</w:t>
      </w:r>
      <w:r w:rsidRPr="003F48CC">
        <w:rPr>
          <w:rFonts w:ascii="Times New Roman" w:hAnsi="Times New Roman" w:cs="Times New Roman"/>
          <w:sz w:val="24"/>
          <w:szCs w:val="24"/>
        </w:rPr>
        <w:t xml:space="preserve">s decision shall </w:t>
      </w:r>
      <w:r w:rsidR="00AF7295">
        <w:rPr>
          <w:rFonts w:ascii="Times New Roman" w:hAnsi="Times New Roman" w:cs="Times New Roman"/>
          <w:sz w:val="24"/>
          <w:szCs w:val="24"/>
        </w:rPr>
        <w:t xml:space="preserve">be entitled </w:t>
      </w:r>
      <w:r w:rsidRPr="003F48CC">
        <w:rPr>
          <w:rFonts w:ascii="Times New Roman" w:hAnsi="Times New Roman" w:cs="Times New Roman"/>
          <w:sz w:val="24"/>
          <w:szCs w:val="24"/>
        </w:rPr>
        <w:t xml:space="preserve">to apply to the Agency of the Republic of Kazakhstan </w:t>
      </w:r>
      <w:r w:rsidR="00AF7295">
        <w:rPr>
          <w:rFonts w:ascii="Times New Roman" w:hAnsi="Times New Roman" w:cs="Times New Roman"/>
          <w:sz w:val="24"/>
          <w:szCs w:val="24"/>
        </w:rPr>
        <w:t>for</w:t>
      </w:r>
      <w:r w:rsidRPr="003F48CC">
        <w:rPr>
          <w:rFonts w:ascii="Times New Roman" w:hAnsi="Times New Roman" w:cs="Times New Roman"/>
          <w:sz w:val="24"/>
          <w:szCs w:val="24"/>
        </w:rPr>
        <w:t xml:space="preserve"> Regulation and Development of Financial Market with simultaneous noti</w:t>
      </w:r>
      <w:r w:rsidR="00FA0D13">
        <w:rPr>
          <w:rFonts w:ascii="Times New Roman" w:hAnsi="Times New Roman" w:cs="Times New Roman"/>
          <w:sz w:val="24"/>
          <w:szCs w:val="24"/>
        </w:rPr>
        <w:t>ce to</w:t>
      </w:r>
      <w:r w:rsidRPr="003F48CC">
        <w:rPr>
          <w:rFonts w:ascii="Times New Roman" w:hAnsi="Times New Roman" w:cs="Times New Roman"/>
          <w:sz w:val="24"/>
          <w:szCs w:val="24"/>
        </w:rPr>
        <w:t xml:space="preserve"> the Bank.</w:t>
      </w:r>
    </w:p>
    <w:p w:rsidR="00BF0A69" w:rsidRPr="003F48CC" w:rsidRDefault="0083748A" w:rsidP="00FA0D13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lastRenderedPageBreak/>
        <w:t xml:space="preserve">If the borrower fails to </w:t>
      </w:r>
      <w:r w:rsidR="00FA0D13">
        <w:rPr>
          <w:rFonts w:ascii="Times New Roman" w:hAnsi="Times New Roman" w:cs="Times New Roman"/>
          <w:sz w:val="24"/>
          <w:szCs w:val="24"/>
        </w:rPr>
        <w:t xml:space="preserve">meet </w:t>
      </w:r>
      <w:r w:rsidR="009227F5">
        <w:rPr>
          <w:rFonts w:ascii="Times New Roman" w:hAnsi="Times New Roman" w:cs="Times New Roman"/>
          <w:sz w:val="24"/>
          <w:szCs w:val="24"/>
        </w:rPr>
        <w:t>the Bank’</w:t>
      </w:r>
      <w:r w:rsidRPr="003F48CC">
        <w:rPr>
          <w:rFonts w:ascii="Times New Roman" w:hAnsi="Times New Roman" w:cs="Times New Roman"/>
          <w:sz w:val="24"/>
          <w:szCs w:val="24"/>
        </w:rPr>
        <w:t>s request to make payments under the Agreement, including overdue debts, accord</w:t>
      </w:r>
      <w:r w:rsidR="00FA0D13">
        <w:rPr>
          <w:rFonts w:ascii="Times New Roman" w:hAnsi="Times New Roman" w:cs="Times New Roman"/>
          <w:sz w:val="24"/>
          <w:szCs w:val="24"/>
        </w:rPr>
        <w:t>ing to</w:t>
      </w:r>
      <w:r w:rsidRPr="003F48CC">
        <w:rPr>
          <w:rFonts w:ascii="Times New Roman" w:hAnsi="Times New Roman" w:cs="Times New Roman"/>
          <w:sz w:val="24"/>
          <w:szCs w:val="24"/>
        </w:rPr>
        <w:t xml:space="preserve"> paragraph 2 of Article 36 of the Law on Banks, the Bank shall </w:t>
      </w:r>
      <w:r w:rsidR="00FA0D13">
        <w:rPr>
          <w:rFonts w:ascii="Times New Roman" w:hAnsi="Times New Roman" w:cs="Times New Roman"/>
          <w:sz w:val="24"/>
          <w:szCs w:val="24"/>
        </w:rPr>
        <w:t xml:space="preserve">be entitled </w:t>
      </w:r>
      <w:r w:rsidRPr="003F48CC">
        <w:rPr>
          <w:rFonts w:ascii="Times New Roman" w:hAnsi="Times New Roman" w:cs="Times New Roman"/>
          <w:sz w:val="24"/>
          <w:szCs w:val="24"/>
        </w:rPr>
        <w:t>to foreclose indisputably on money, in</w:t>
      </w:r>
      <w:r w:rsidR="00FA0D13">
        <w:rPr>
          <w:rFonts w:ascii="Times New Roman" w:hAnsi="Times New Roman" w:cs="Times New Roman"/>
          <w:sz w:val="24"/>
          <w:szCs w:val="24"/>
        </w:rPr>
        <w:t xml:space="preserve">ter alia </w:t>
      </w:r>
      <w:r w:rsidRPr="003F48CC">
        <w:rPr>
          <w:rFonts w:ascii="Times New Roman" w:hAnsi="Times New Roman" w:cs="Times New Roman"/>
          <w:sz w:val="24"/>
          <w:szCs w:val="24"/>
        </w:rPr>
        <w:t xml:space="preserve">by filing a payment </w:t>
      </w:r>
      <w:r w:rsidR="00FA0D13">
        <w:rPr>
          <w:rFonts w:ascii="Times New Roman" w:hAnsi="Times New Roman" w:cs="Times New Roman"/>
          <w:sz w:val="24"/>
          <w:szCs w:val="24"/>
        </w:rPr>
        <w:t>claim</w:t>
      </w:r>
      <w:r w:rsidR="009227F5">
        <w:rPr>
          <w:rFonts w:ascii="Times New Roman" w:hAnsi="Times New Roman" w:cs="Times New Roman"/>
          <w:sz w:val="24"/>
          <w:szCs w:val="24"/>
        </w:rPr>
        <w:t>, available on the borrower’</w:t>
      </w:r>
      <w:r w:rsidRPr="003F48CC">
        <w:rPr>
          <w:rFonts w:ascii="Times New Roman" w:hAnsi="Times New Roman" w:cs="Times New Roman"/>
          <w:sz w:val="24"/>
          <w:szCs w:val="24"/>
        </w:rPr>
        <w:t xml:space="preserve">s bank accounts (if </w:t>
      </w:r>
      <w:r w:rsidR="00FA0D13" w:rsidRPr="003F48CC">
        <w:rPr>
          <w:rFonts w:ascii="Times New Roman" w:hAnsi="Times New Roman" w:cs="Times New Roman"/>
          <w:sz w:val="24"/>
          <w:szCs w:val="24"/>
        </w:rPr>
        <w:t>the Agreement</w:t>
      </w:r>
      <w:r w:rsidR="00FA0D13">
        <w:rPr>
          <w:rFonts w:ascii="Times New Roman" w:hAnsi="Times New Roman" w:cs="Times New Roman"/>
          <w:sz w:val="24"/>
          <w:szCs w:val="24"/>
        </w:rPr>
        <w:t xml:space="preserve"> stipulates</w:t>
      </w:r>
      <w:r w:rsidR="00FA0D13" w:rsidRPr="003F48CC">
        <w:rPr>
          <w:rFonts w:ascii="Times New Roman" w:hAnsi="Times New Roman" w:cs="Times New Roman"/>
          <w:sz w:val="24"/>
          <w:szCs w:val="24"/>
        </w:rPr>
        <w:t xml:space="preserve"> </w:t>
      </w:r>
      <w:r w:rsidRPr="003F48CC">
        <w:rPr>
          <w:rFonts w:ascii="Times New Roman" w:hAnsi="Times New Roman" w:cs="Times New Roman"/>
          <w:sz w:val="24"/>
          <w:szCs w:val="24"/>
        </w:rPr>
        <w:t xml:space="preserve">such foreclosure), subject to the restrictions </w:t>
      </w:r>
      <w:r w:rsidR="003F48CC">
        <w:rPr>
          <w:rFonts w:ascii="Times New Roman" w:hAnsi="Times New Roman" w:cs="Times New Roman"/>
          <w:sz w:val="24"/>
          <w:szCs w:val="24"/>
        </w:rPr>
        <w:t>stipulated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by the Law on Banks.</w:t>
      </w:r>
    </w:p>
    <w:p w:rsidR="00BF0A69" w:rsidRPr="003F48CC" w:rsidRDefault="0083748A" w:rsidP="00FA0D13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F48CC">
        <w:rPr>
          <w:rFonts w:ascii="Times New Roman" w:hAnsi="Times New Roman" w:cs="Times New Roman"/>
          <w:sz w:val="24"/>
          <w:szCs w:val="24"/>
        </w:rPr>
        <w:t xml:space="preserve">In cases when the borrower fails to </w:t>
      </w:r>
      <w:r w:rsidR="00FA0D13">
        <w:rPr>
          <w:rFonts w:ascii="Times New Roman" w:hAnsi="Times New Roman" w:cs="Times New Roman"/>
          <w:sz w:val="24"/>
          <w:szCs w:val="24"/>
        </w:rPr>
        <w:t xml:space="preserve">meet </w:t>
      </w:r>
      <w:r w:rsidR="00257DB7">
        <w:rPr>
          <w:rFonts w:ascii="Times New Roman" w:hAnsi="Times New Roman" w:cs="Times New Roman"/>
          <w:sz w:val="24"/>
          <w:szCs w:val="24"/>
        </w:rPr>
        <w:t>the Bank’</w:t>
      </w:r>
      <w:r w:rsidRPr="003F48CC">
        <w:rPr>
          <w:rFonts w:ascii="Times New Roman" w:hAnsi="Times New Roman" w:cs="Times New Roman"/>
          <w:sz w:val="24"/>
          <w:szCs w:val="24"/>
        </w:rPr>
        <w:t xml:space="preserve">s request to make payments under the Agreement, including overdue debts, as well as the </w:t>
      </w:r>
      <w:r w:rsidR="00FA0D13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>borrower</w:t>
      </w:r>
      <w:r w:rsidR="00FA0D13">
        <w:rPr>
          <w:rFonts w:ascii="Times New Roman" w:hAnsi="Times New Roman" w:cs="Times New Roman"/>
          <w:sz w:val="24"/>
          <w:szCs w:val="24"/>
        </w:rPr>
        <w:t xml:space="preserve">’s </w:t>
      </w:r>
      <w:r w:rsidRPr="003F48CC">
        <w:rPr>
          <w:rFonts w:ascii="Times New Roman" w:hAnsi="Times New Roman" w:cs="Times New Roman"/>
          <w:sz w:val="24"/>
          <w:szCs w:val="24"/>
        </w:rPr>
        <w:t xml:space="preserve">failure to exercise the rights </w:t>
      </w:r>
      <w:r w:rsidR="003F48CC">
        <w:rPr>
          <w:rFonts w:ascii="Times New Roman" w:hAnsi="Times New Roman" w:cs="Times New Roman"/>
          <w:sz w:val="24"/>
          <w:szCs w:val="24"/>
        </w:rPr>
        <w:t>stipulated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by paragraph 1-1 of Article 36 of the Law on Banks, or the lack of agreement between the </w:t>
      </w:r>
      <w:r w:rsidR="00FA0D13" w:rsidRPr="003F48C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3F48CC">
        <w:rPr>
          <w:rFonts w:ascii="Times New Roman" w:hAnsi="Times New Roman" w:cs="Times New Roman"/>
          <w:sz w:val="24"/>
          <w:szCs w:val="24"/>
        </w:rPr>
        <w:t xml:space="preserve">borrower and the Bank to </w:t>
      </w:r>
      <w:r w:rsidR="00FA0D13">
        <w:rPr>
          <w:rFonts w:ascii="Times New Roman" w:hAnsi="Times New Roman" w:cs="Times New Roman"/>
          <w:sz w:val="24"/>
          <w:szCs w:val="24"/>
        </w:rPr>
        <w:t xml:space="preserve">amend </w:t>
      </w:r>
      <w:r w:rsidRPr="003F48CC">
        <w:rPr>
          <w:rFonts w:ascii="Times New Roman" w:hAnsi="Times New Roman" w:cs="Times New Roman"/>
          <w:sz w:val="24"/>
          <w:szCs w:val="24"/>
        </w:rPr>
        <w:t xml:space="preserve">the terms </w:t>
      </w:r>
      <w:r w:rsidR="00FA0D13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Pr="003F48CC">
        <w:rPr>
          <w:rFonts w:ascii="Times New Roman" w:hAnsi="Times New Roman" w:cs="Times New Roman"/>
          <w:sz w:val="24"/>
          <w:szCs w:val="24"/>
        </w:rPr>
        <w:t>of the Agreement, accord</w:t>
      </w:r>
      <w:r w:rsidR="00FA0D13">
        <w:rPr>
          <w:rFonts w:ascii="Times New Roman" w:hAnsi="Times New Roman" w:cs="Times New Roman"/>
          <w:sz w:val="24"/>
          <w:szCs w:val="24"/>
        </w:rPr>
        <w:t xml:space="preserve">ing to </w:t>
      </w:r>
      <w:r w:rsidRPr="003F48CC">
        <w:rPr>
          <w:rFonts w:ascii="Times New Roman" w:hAnsi="Times New Roman" w:cs="Times New Roman"/>
          <w:sz w:val="24"/>
          <w:szCs w:val="24"/>
        </w:rPr>
        <w:t xml:space="preserve">paragraph 2-1 of Article 36 of the Law on Banks, the Bank may apply to the borrower measures </w:t>
      </w:r>
      <w:r w:rsidR="003F48CC">
        <w:rPr>
          <w:rFonts w:ascii="Times New Roman" w:hAnsi="Times New Roman" w:cs="Times New Roman"/>
          <w:sz w:val="24"/>
          <w:szCs w:val="24"/>
        </w:rPr>
        <w:t>stipulated</w:t>
      </w:r>
      <w:r w:rsidRPr="003F48CC">
        <w:rPr>
          <w:rFonts w:ascii="Times New Roman" w:hAnsi="Times New Roman" w:cs="Times New Roman"/>
          <w:sz w:val="24"/>
          <w:szCs w:val="24"/>
        </w:rPr>
        <w:t xml:space="preserve"> by the legislation of the Republic of Kazakhstan and (or) the Agreement, including, but not limited to, </w:t>
      </w:r>
      <w:r w:rsidR="00FA0D13" w:rsidRPr="00FA0D13">
        <w:rPr>
          <w:rFonts w:ascii="Times New Roman" w:hAnsi="Times New Roman" w:cs="Times New Roman"/>
          <w:sz w:val="24"/>
          <w:szCs w:val="24"/>
        </w:rPr>
        <w:t xml:space="preserve">transfer the debt for pre-trial collection and settlement to a collection agency (if the Bank has such right </w:t>
      </w:r>
      <w:r w:rsidR="00FA0D13">
        <w:rPr>
          <w:rFonts w:ascii="Times New Roman" w:hAnsi="Times New Roman" w:cs="Times New Roman"/>
          <w:sz w:val="24"/>
          <w:szCs w:val="24"/>
        </w:rPr>
        <w:t>under</w:t>
      </w:r>
      <w:r w:rsidR="00FA0D13" w:rsidRPr="00FA0D13">
        <w:rPr>
          <w:rFonts w:ascii="Times New Roman" w:hAnsi="Times New Roman" w:cs="Times New Roman"/>
          <w:sz w:val="24"/>
          <w:szCs w:val="24"/>
        </w:rPr>
        <w:t xml:space="preserve"> the Agreement), assign the right (claim) under the Agreement to a person specified in paragraph 4 of Article 36-1 of the Law on Banks, file a lawsuit in court to recover the debt amount under the Agreement, as well as to foreclose on pledged property extra</w:t>
      </w:r>
      <w:r w:rsidR="00FA0D13">
        <w:rPr>
          <w:rFonts w:ascii="Times New Roman" w:hAnsi="Times New Roman" w:cs="Times New Roman"/>
          <w:sz w:val="24"/>
          <w:szCs w:val="24"/>
        </w:rPr>
        <w:t>-j</w:t>
      </w:r>
      <w:r w:rsidR="00FA0D13" w:rsidRPr="00FA0D13">
        <w:rPr>
          <w:rFonts w:ascii="Times New Roman" w:hAnsi="Times New Roman" w:cs="Times New Roman"/>
          <w:sz w:val="24"/>
          <w:szCs w:val="24"/>
        </w:rPr>
        <w:t xml:space="preserve">udicially, except for cases </w:t>
      </w:r>
      <w:r w:rsidR="00FA0D13">
        <w:rPr>
          <w:rFonts w:ascii="Times New Roman" w:hAnsi="Times New Roman" w:cs="Times New Roman"/>
          <w:sz w:val="24"/>
          <w:szCs w:val="24"/>
        </w:rPr>
        <w:t xml:space="preserve">stipulated </w:t>
      </w:r>
      <w:r w:rsidR="00FA0D13" w:rsidRPr="00FA0D13">
        <w:rPr>
          <w:rFonts w:ascii="Times New Roman" w:hAnsi="Times New Roman" w:cs="Times New Roman"/>
          <w:sz w:val="24"/>
          <w:szCs w:val="24"/>
        </w:rPr>
        <w:t>by the Law</w:t>
      </w:r>
      <w:r w:rsidR="00257DB7">
        <w:rPr>
          <w:rFonts w:ascii="Times New Roman" w:hAnsi="Times New Roman" w:cs="Times New Roman"/>
          <w:sz w:val="24"/>
          <w:szCs w:val="24"/>
        </w:rPr>
        <w:t xml:space="preserve"> of the Republic of Kazakhstan “</w:t>
      </w:r>
      <w:r w:rsidR="00FA0D13" w:rsidRPr="00FA0D13">
        <w:rPr>
          <w:rFonts w:ascii="Times New Roman" w:hAnsi="Times New Roman" w:cs="Times New Roman"/>
          <w:sz w:val="24"/>
          <w:szCs w:val="24"/>
        </w:rPr>
        <w:t>On</w:t>
      </w:r>
      <w:r w:rsidR="00257DB7">
        <w:rPr>
          <w:rFonts w:ascii="Times New Roman" w:hAnsi="Times New Roman" w:cs="Times New Roman"/>
          <w:sz w:val="24"/>
          <w:szCs w:val="24"/>
        </w:rPr>
        <w:t xml:space="preserve"> Mortgage of Immovable Property”</w:t>
      </w:r>
      <w:r w:rsidR="00FA0D13" w:rsidRPr="00FA0D13">
        <w:rPr>
          <w:rFonts w:ascii="Times New Roman" w:hAnsi="Times New Roman" w:cs="Times New Roman"/>
          <w:sz w:val="24"/>
          <w:szCs w:val="24"/>
        </w:rPr>
        <w:t>, or in a judicial procedure</w:t>
      </w:r>
      <w:r w:rsidRPr="003F48CC">
        <w:rPr>
          <w:rFonts w:ascii="Times New Roman" w:hAnsi="Times New Roman" w:cs="Times New Roman"/>
          <w:sz w:val="24"/>
          <w:szCs w:val="24"/>
        </w:rPr>
        <w:t>.</w:t>
      </w:r>
    </w:p>
    <w:p w:rsidR="006967D3" w:rsidRPr="003F48CC" w:rsidRDefault="006967D3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C" w:rsidRPr="003F48CC" w:rsidRDefault="003F48CC" w:rsidP="003F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8CC" w:rsidRPr="003F48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8C6"/>
    <w:multiLevelType w:val="hybridMultilevel"/>
    <w:tmpl w:val="524A4654"/>
    <w:lvl w:ilvl="0" w:tplc="A6E052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BAD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06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48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C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89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60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69"/>
    <w:rsid w:val="00257DB7"/>
    <w:rsid w:val="002A2C08"/>
    <w:rsid w:val="003F48CC"/>
    <w:rsid w:val="006967D3"/>
    <w:rsid w:val="0083748A"/>
    <w:rsid w:val="00856CE5"/>
    <w:rsid w:val="008D5D9F"/>
    <w:rsid w:val="009227F5"/>
    <w:rsid w:val="00AB7753"/>
    <w:rsid w:val="00AF7295"/>
    <w:rsid w:val="00BF0A69"/>
    <w:rsid w:val="00CE5640"/>
    <w:rsid w:val="00CF7CCF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CC"/>
    <w:pPr>
      <w:ind w:left="720"/>
      <w:contextualSpacing/>
    </w:pPr>
    <w:rPr>
      <w:kern w:val="2"/>
      <w:lang w:val="ru-RU"/>
      <w14:ligatures w14:val="standardContextual"/>
    </w:rPr>
  </w:style>
  <w:style w:type="paragraph" w:customStyle="1" w:styleId="pr">
    <w:name w:val="pr"/>
    <w:basedOn w:val="a"/>
    <w:rsid w:val="00CE5640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AF729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AF72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CC"/>
    <w:pPr>
      <w:ind w:left="720"/>
      <w:contextualSpacing/>
    </w:pPr>
    <w:rPr>
      <w:kern w:val="2"/>
      <w:lang w:val="ru-RU"/>
      <w14:ligatures w14:val="standardContextual"/>
    </w:rPr>
  </w:style>
  <w:style w:type="paragraph" w:customStyle="1" w:styleId="pr">
    <w:name w:val="pr"/>
    <w:basedOn w:val="a"/>
    <w:rsid w:val="00CE5640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AF729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AF72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1319</Words>
  <Characters>9700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 Айбек Толенович</dc:creator>
  <cp:lastModifiedBy>User Windows</cp:lastModifiedBy>
  <cp:revision>4</cp:revision>
  <dcterms:created xsi:type="dcterms:W3CDTF">2024-04-09T09:10:00Z</dcterms:created>
  <dcterms:modified xsi:type="dcterms:W3CDTF">2024-04-10T03:31:00Z</dcterms:modified>
</cp:coreProperties>
</file>